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94D0F">
      <w:pPr>
        <w:spacing w:line="580" w:lineRule="exact"/>
        <w:jc w:val="center"/>
        <w:rPr>
          <w:rFonts w:ascii="方正小标宋简体" w:hAnsi="Times New Roman" w:eastAsia="方正小标宋简体" w:cs="Times New Roman"/>
          <w:bCs/>
          <w:kern w:val="0"/>
          <w:sz w:val="44"/>
          <w:szCs w:val="44"/>
        </w:rPr>
      </w:pPr>
      <w:r>
        <w:rPr>
          <w:rFonts w:hint="eastAsia" w:ascii="方正小标宋简体" w:hAnsi="Times New Roman" w:eastAsia="方正小标宋简体" w:cs="Times New Roman"/>
          <w:bCs/>
          <w:kern w:val="0"/>
          <w:sz w:val="44"/>
          <w:szCs w:val="44"/>
        </w:rPr>
        <w:t>江西省地方标准</w:t>
      </w:r>
    </w:p>
    <w:p w14:paraId="2758D6CD">
      <w:pPr>
        <w:spacing w:line="580" w:lineRule="exact"/>
        <w:jc w:val="center"/>
        <w:rPr>
          <w:rFonts w:hint="eastAsia" w:ascii="方正小标宋简体" w:hAnsi="Times New Roman" w:eastAsia="方正小标宋简体" w:cs="Times New Roman"/>
          <w:bCs/>
          <w:kern w:val="0"/>
          <w:sz w:val="44"/>
          <w:szCs w:val="44"/>
        </w:rPr>
      </w:pPr>
      <w:r>
        <w:rPr>
          <w:rFonts w:hint="eastAsia" w:ascii="方正小标宋简体" w:hAnsi="Times New Roman" w:eastAsia="方正小标宋简体" w:cs="Times New Roman"/>
          <w:bCs/>
          <w:kern w:val="0"/>
          <w:sz w:val="44"/>
          <w:szCs w:val="44"/>
        </w:rPr>
        <w:t>《食品安全“你点我检”“你送我检”工作流程</w:t>
      </w:r>
      <w:r>
        <w:rPr>
          <w:rFonts w:hint="eastAsia" w:ascii="方正小标宋简体" w:hAnsi="Times New Roman" w:eastAsia="方正小标宋简体" w:cs="Times New Roman"/>
          <w:bCs/>
          <w:kern w:val="0"/>
          <w:sz w:val="44"/>
          <w:szCs w:val="44"/>
          <w:lang w:eastAsia="zh-CN"/>
        </w:rPr>
        <w:t>与</w:t>
      </w:r>
      <w:r>
        <w:rPr>
          <w:rFonts w:hint="eastAsia" w:ascii="方正小标宋简体" w:hAnsi="Times New Roman" w:eastAsia="方正小标宋简体" w:cs="Times New Roman"/>
          <w:bCs/>
          <w:kern w:val="0"/>
          <w:sz w:val="44"/>
          <w:szCs w:val="44"/>
        </w:rPr>
        <w:t>成效评价》编制说明</w:t>
      </w:r>
    </w:p>
    <w:p w14:paraId="3C25F454">
      <w:pPr>
        <w:numPr>
          <w:ilvl w:val="0"/>
          <w:numId w:val="0"/>
        </w:numPr>
        <w:ind w:firstLine="640" w:firstLineChars="200"/>
        <w:rPr>
          <w:rFonts w:hint="eastAsia" w:ascii="黑体" w:hAnsi="Times New Roman" w:eastAsia="黑体" w:cs="Times New Roman"/>
          <w:sz w:val="32"/>
          <w:szCs w:val="32"/>
          <w:lang w:val="en-US" w:eastAsia="zh-CN"/>
        </w:rPr>
      </w:pPr>
      <w:r>
        <w:rPr>
          <w:rFonts w:hint="eastAsia" w:ascii="黑体" w:hAnsi="Times New Roman" w:eastAsia="黑体" w:cs="Times New Roman"/>
          <w:kern w:val="2"/>
          <w:sz w:val="32"/>
          <w:szCs w:val="32"/>
          <w:lang w:val="en-US" w:eastAsia="zh-CN" w:bidi="ar-SA"/>
        </w:rPr>
        <w:t>一、</w:t>
      </w:r>
      <w:r>
        <w:rPr>
          <w:rFonts w:hint="eastAsia" w:ascii="黑体" w:hAnsi="Times New Roman" w:eastAsia="黑体" w:cs="Times New Roman"/>
          <w:sz w:val="32"/>
          <w:szCs w:val="32"/>
          <w:lang w:val="en-US" w:eastAsia="zh-CN"/>
        </w:rPr>
        <w:t>任务来源</w:t>
      </w:r>
    </w:p>
    <w:p w14:paraId="5F3DA999">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根据《江西省市场监管局关于下达2024年第九批江西省地方标准制修订计划的通知》（赣市监标〔2024〕24号），《食品安全“你点我检”“你送我检”工作流程与成效评价》列入本次江西省地方标准制修订计划，计划号为：DB36-2024-9-32，由江西省市场监督管理局提出，由江西省市场监督管理局食品安全抽检监测处、江西省检验检测认证总院检测认证技术发展研究院共同承担本标准的起草工作。</w:t>
      </w:r>
    </w:p>
    <w:p w14:paraId="580288F0">
      <w:pPr>
        <w:numPr>
          <w:ilvl w:val="0"/>
          <w:numId w:val="0"/>
        </w:numPr>
        <w:ind w:firstLine="640" w:firstLineChars="200"/>
        <w:rPr>
          <w:rFonts w:hint="default" w:ascii="黑体" w:hAnsi="Times New Roman" w:eastAsia="黑体" w:cs="Times New Roman"/>
          <w:sz w:val="32"/>
          <w:szCs w:val="32"/>
          <w:lang w:val="en-US" w:eastAsia="zh-CN"/>
        </w:rPr>
      </w:pPr>
      <w:r>
        <w:rPr>
          <w:rFonts w:hint="eastAsia" w:ascii="黑体" w:hAnsi="Times New Roman" w:eastAsia="黑体" w:cs="Times New Roman"/>
          <w:kern w:val="2"/>
          <w:sz w:val="32"/>
          <w:szCs w:val="32"/>
          <w:lang w:val="en-US" w:eastAsia="zh-CN" w:bidi="ar-SA"/>
        </w:rPr>
        <w:t>二、编制背景、目的和意义</w:t>
      </w:r>
    </w:p>
    <w:p w14:paraId="03A201CF">
      <w:pPr>
        <w:widowControl/>
        <w:spacing w:line="580" w:lineRule="exact"/>
        <w:ind w:firstLine="643" w:firstLineChars="200"/>
        <w:outlineLvl w:val="0"/>
        <w:rPr>
          <w:rFonts w:hint="eastAsia" w:ascii="仿宋_GB2312" w:hAnsi="Times New Roman" w:eastAsia="仿宋_GB2312" w:cs="Times New Roman"/>
          <w:b/>
          <w:bCs/>
          <w:kern w:val="0"/>
          <w:sz w:val="32"/>
          <w:szCs w:val="32"/>
        </w:rPr>
      </w:pPr>
      <w:r>
        <w:rPr>
          <w:rFonts w:hint="eastAsia" w:ascii="仿宋_GB2312" w:hAnsi="Times New Roman" w:eastAsia="仿宋_GB2312" w:cs="Times New Roman"/>
          <w:b/>
          <w:bCs/>
          <w:kern w:val="0"/>
          <w:sz w:val="32"/>
          <w:szCs w:val="32"/>
        </w:rPr>
        <w:t>（一）编制背景</w:t>
      </w:r>
    </w:p>
    <w:p w14:paraId="5D5F5EF4">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食品安全“你点我检”是市场监管部门向消费者征集百姓关注的食品品种和检验项目，有针对性地制定食品安全抽检计划，按照法定程序进行抽样检验，服务消费者需求的一项活动；食品安全“你送我检”是市场监管部门现场接受消费者送检食品样品，并通过食品快检方式开展检测的食品检验活动。</w:t>
      </w:r>
    </w:p>
    <w:p w14:paraId="24982E87">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2024年7月，江西省市场监管局在“赣服通”开设了“赣食点检”小程序，通过群众“点单”，政府“抽检”的方式，聚民意惠民生，全方位保障群众食品安全，让放心看得见、消费更安全，积极打造食品安全“你点我检”监管为民的服务品牌。食品安全“赣食点检”作为江西数字政府建设的重要内容、江西健康行动民生工作的实施措施、食品安全“你点我检 服务惠民生”的工作举措，聚焦“赣食点检”抽检需求，打造食品安全“云服务”，实现食品安全“你点我检”工作线上联动，尽可能满足群众要求。通过线上线下问卷、线上小程序、线下采访等方式，广泛征求群众意见，增强了群众食品安全参与感、获得感、幸福感，让食品安全“可评判、可检验、可感知”，从而提升食品安全“你点我检”工作规范度。</w:t>
      </w:r>
    </w:p>
    <w:p w14:paraId="10C70567">
      <w:pPr>
        <w:widowControl/>
        <w:numPr>
          <w:ilvl w:val="0"/>
          <w:numId w:val="0"/>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bidi="ar-SA"/>
        </w:rPr>
        <w:t>（二）</w:t>
      </w:r>
      <w:r>
        <w:rPr>
          <w:rFonts w:hint="eastAsia" w:ascii="仿宋_GB2312" w:hAnsi="Times New Roman" w:eastAsia="仿宋_GB2312" w:cs="Times New Roman"/>
          <w:b/>
          <w:bCs/>
          <w:kern w:val="0"/>
          <w:sz w:val="32"/>
          <w:szCs w:val="32"/>
        </w:rPr>
        <w:t>编制</w:t>
      </w:r>
      <w:r>
        <w:rPr>
          <w:rFonts w:hint="eastAsia" w:ascii="仿宋_GB2312" w:hAnsi="Times New Roman" w:eastAsia="仿宋_GB2312" w:cs="Times New Roman"/>
          <w:b/>
          <w:bCs/>
          <w:kern w:val="0"/>
          <w:sz w:val="32"/>
          <w:szCs w:val="32"/>
          <w:lang w:val="en-US" w:eastAsia="zh-CN"/>
        </w:rPr>
        <w:t>目的</w:t>
      </w:r>
    </w:p>
    <w:p w14:paraId="4D96873F">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为贯彻落实《市场监管总局办公厅关于做好食品安全你点我检服务工作的指导意见》《食品安全“你点我检”服务活动工作指南》工作要求，我省积极开展食品安全“你点我检”“你送我检”服务活动，实现“抽群众之所想、检群众之所盼”，全过程公开透明，是以食品检验检测“小窗口”促进食品安全“大监管”的创新探索:促进食品安全社会共治，增强消费者信心。经过近几年的实践探索，食品安全“你点我检”“你送我检”活动进一步规范化、常态化，取得可检验、可评判、可感知的效果。</w:t>
      </w:r>
    </w:p>
    <w:p w14:paraId="7F2B5169">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近年来，全省各地对食品安全“你点我检”“你送我检”工作活动作为一项常态化工作持续开展，增强了食品安全监管的针对性和有效性，提升了消费者对食品安全的参与度和信任度，筑牢了安全且放心的食品消费环境。但我省在食品安全“你点我检”“你送我检”向高质量发展过程中，在规范化、专业化建设等方面还存在一些差距。我省在食品安全“你点我检”“你送我检”工作中尚未有可参照相关的国家标准、行业标准、地方标准。</w:t>
      </w:r>
    </w:p>
    <w:p w14:paraId="18BF5DD6">
      <w:pPr>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标准作为一种制度工具在社会建设中发挥着越来越大的作用，通过标准对规范和指导江西省各县（市、区）有效地开展“你点我检”“你送我检”工作具有重大意义。为促进食品安全“你点我检”“你送我检”工作的规范化发展，在总结历年来食品安全“你点我检”“你送我检”成功经验和实践成果的基础上，开展本标准的编制工作。</w:t>
      </w:r>
    </w:p>
    <w:p w14:paraId="238CDAED">
      <w:pPr>
        <w:widowControl/>
        <w:numPr>
          <w:ilvl w:val="0"/>
          <w:numId w:val="1"/>
        </w:numPr>
        <w:spacing w:line="580" w:lineRule="exact"/>
        <w:ind w:firstLine="643" w:firstLineChars="200"/>
        <w:outlineLvl w:val="0"/>
        <w:rPr>
          <w:rFonts w:hint="eastAsia" w:ascii="仿宋_GB2312" w:hAnsi="Times New Roman" w:eastAsia="仿宋_GB2312" w:cs="Times New Roman"/>
          <w:b/>
          <w:bCs/>
          <w:kern w:val="0"/>
          <w:sz w:val="32"/>
          <w:szCs w:val="32"/>
          <w:lang w:val="en-US" w:eastAsia="zh-CN"/>
        </w:rPr>
      </w:pPr>
      <w:r>
        <w:rPr>
          <w:rFonts w:hint="eastAsia" w:ascii="仿宋_GB2312" w:hAnsi="Times New Roman" w:eastAsia="仿宋_GB2312" w:cs="Times New Roman"/>
          <w:b/>
          <w:bCs/>
          <w:kern w:val="0"/>
          <w:sz w:val="32"/>
          <w:szCs w:val="32"/>
          <w:lang w:val="en-US" w:eastAsia="zh-CN"/>
        </w:rPr>
        <w:t>编制意义</w:t>
      </w:r>
    </w:p>
    <w:p w14:paraId="3BCF9D38">
      <w:p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我省已开展多批次食品安全“你点我检”“你送我检”工作，共抽检餐饮食品、茶叶及相关制品、豆制品、酒类、粮食加工品、乳制品、食用农产品、蔬菜制品和饮料等9大类，近千批次食品样品，具有工作基础和工作经验，下一步将工作经验转化为标准，规范化工作流程，以及规范化食品安全抽检工作人员的工作内容；另外，对食品安全“你点我检”“你送我检”做工作成效满意度评价是工作改进的基础。</w:t>
      </w:r>
    </w:p>
    <w:p w14:paraId="5A067DD7">
      <w:pPr>
        <w:numPr>
          <w:ilvl w:val="0"/>
          <w:numId w:val="0"/>
        </w:numPr>
        <w:ind w:firstLine="640" w:firstLineChars="200"/>
        <w:rPr>
          <w:rFonts w:hint="eastAsia" w:ascii="黑体" w:hAnsi="Times New Roman" w:eastAsia="黑体" w:cs="Times New Roman"/>
          <w:kern w:val="2"/>
          <w:sz w:val="32"/>
          <w:szCs w:val="32"/>
          <w:lang w:val="en-US" w:eastAsia="zh-CN" w:bidi="ar-SA"/>
        </w:rPr>
      </w:pPr>
      <w:r>
        <w:rPr>
          <w:rFonts w:hint="eastAsia" w:ascii="黑体" w:hAnsi="Times New Roman" w:eastAsia="黑体" w:cs="Times New Roman"/>
          <w:kern w:val="2"/>
          <w:sz w:val="32"/>
          <w:szCs w:val="32"/>
          <w:lang w:val="en-US" w:eastAsia="zh-CN" w:bidi="ar-SA"/>
        </w:rPr>
        <w:t>三、标准编制原则</w:t>
      </w:r>
    </w:p>
    <w:p w14:paraId="527BED7D">
      <w:pPr>
        <w:ind w:firstLine="640" w:firstLineChars="200"/>
        <w:rPr>
          <w:rFonts w:hint="default" w:ascii="仿宋_GB2312" w:eastAsia="仿宋_GB2312"/>
          <w:b w:val="0"/>
          <w:bCs w:val="0"/>
          <w:sz w:val="32"/>
          <w:szCs w:val="32"/>
          <w:lang w:val="en-US" w:eastAsia="zh-CN"/>
        </w:rPr>
      </w:pPr>
      <w:r>
        <w:rPr>
          <w:rFonts w:hint="default" w:ascii="仿宋_GB2312" w:eastAsia="仿宋_GB2312"/>
          <w:b w:val="0"/>
          <w:bCs w:val="0"/>
          <w:sz w:val="32"/>
          <w:szCs w:val="32"/>
          <w:lang w:val="en-US" w:eastAsia="zh-CN"/>
        </w:rPr>
        <w:t>本标准在编制过程中，主要遵循了科学性、实践性、规范性、可操作性的原则。</w:t>
      </w:r>
    </w:p>
    <w:p w14:paraId="66C28D4D">
      <w:pPr>
        <w:ind w:firstLine="640" w:firstLineChars="200"/>
        <w:rPr>
          <w:rFonts w:hint="default" w:ascii="仿宋_GB2312" w:eastAsia="仿宋_GB2312"/>
          <w:b w:val="0"/>
          <w:bCs w:val="0"/>
          <w:sz w:val="32"/>
          <w:szCs w:val="32"/>
          <w:lang w:val="en-US" w:eastAsia="zh-CN"/>
        </w:rPr>
      </w:pPr>
      <w:r>
        <w:rPr>
          <w:rFonts w:hint="default" w:ascii="仿宋_GB2312" w:eastAsia="仿宋_GB2312"/>
          <w:b w:val="0"/>
          <w:bCs w:val="0"/>
          <w:sz w:val="32"/>
          <w:szCs w:val="32"/>
          <w:lang w:val="en-US" w:eastAsia="zh-CN"/>
        </w:rPr>
        <w:t>1、科学性原则。本标准严格遵守国家相关法律、文件，深入钻研相关理论，认真梳理国家层面和省内相关的法律法规和政策文本，在理论方面体现该标准的科学性。</w:t>
      </w:r>
    </w:p>
    <w:p w14:paraId="5FC31945">
      <w:pPr>
        <w:ind w:firstLine="640" w:firstLineChars="200"/>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2</w:t>
      </w:r>
      <w:r>
        <w:rPr>
          <w:rFonts w:hint="default" w:ascii="仿宋_GB2312" w:eastAsia="仿宋_GB2312"/>
          <w:b w:val="0"/>
          <w:bCs w:val="0"/>
          <w:sz w:val="32"/>
          <w:szCs w:val="32"/>
          <w:lang w:val="en-US" w:eastAsia="zh-CN"/>
        </w:rPr>
        <w:t>、规范性原则。本文件严格按照GB/T1.1-2020《标准化工作导则第1部分:标准化文件的结构和起草规则》的要求进行编写。</w:t>
      </w:r>
    </w:p>
    <w:p w14:paraId="4E4486F7">
      <w:pPr>
        <w:ind w:firstLine="640" w:firstLineChars="200"/>
        <w:rPr>
          <w:rFonts w:hint="default" w:ascii="仿宋_GB2312" w:eastAsia="仿宋_GB2312"/>
          <w:b w:val="0"/>
          <w:bCs w:val="0"/>
          <w:sz w:val="32"/>
          <w:szCs w:val="32"/>
          <w:lang w:val="en-US" w:eastAsia="zh-CN"/>
        </w:rPr>
      </w:pPr>
      <w:r>
        <w:rPr>
          <w:rFonts w:hint="eastAsia" w:ascii="仿宋_GB2312" w:eastAsia="仿宋_GB2312"/>
          <w:b w:val="0"/>
          <w:bCs w:val="0"/>
          <w:sz w:val="32"/>
          <w:szCs w:val="32"/>
          <w:lang w:val="en-US" w:eastAsia="zh-CN"/>
        </w:rPr>
        <w:t>3</w:t>
      </w:r>
      <w:r>
        <w:rPr>
          <w:rFonts w:hint="default" w:ascii="仿宋_GB2312" w:eastAsia="仿宋_GB2312"/>
          <w:b w:val="0"/>
          <w:bCs w:val="0"/>
          <w:sz w:val="32"/>
          <w:szCs w:val="32"/>
          <w:lang w:val="en-US" w:eastAsia="zh-CN"/>
        </w:rPr>
        <w:t>.可操作性。该标准结合工作实际，便于开展食品安全</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你点我检</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你送我检</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工作</w:t>
      </w:r>
      <w:r>
        <w:rPr>
          <w:rFonts w:hint="eastAsia" w:ascii="仿宋_GB2312" w:eastAsia="仿宋_GB2312"/>
          <w:b w:val="0"/>
          <w:bCs w:val="0"/>
          <w:sz w:val="32"/>
          <w:szCs w:val="32"/>
          <w:lang w:val="en-US" w:eastAsia="zh-CN"/>
        </w:rPr>
        <w:t>及成效评价</w:t>
      </w:r>
      <w:r>
        <w:rPr>
          <w:rFonts w:hint="default" w:ascii="仿宋_GB2312" w:eastAsia="仿宋_GB2312"/>
          <w:b w:val="0"/>
          <w:bCs w:val="0"/>
          <w:sz w:val="32"/>
          <w:szCs w:val="32"/>
          <w:lang w:val="en-US" w:eastAsia="zh-CN"/>
        </w:rPr>
        <w:t>的实际操作，能为江西省各地的食品安全</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你点我检</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你送我检</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工作提供操作参考并产生实际效果。</w:t>
      </w:r>
    </w:p>
    <w:p w14:paraId="3474AF1E">
      <w:pPr>
        <w:ind w:firstLine="640" w:firstLineChars="200"/>
        <w:rPr>
          <w:rFonts w:hint="eastAsia" w:ascii="黑体" w:hAnsi="Times New Roman" w:eastAsia="黑体" w:cs="Times New Roman"/>
          <w:sz w:val="32"/>
          <w:szCs w:val="32"/>
        </w:rPr>
      </w:pPr>
      <w:r>
        <w:rPr>
          <w:rFonts w:hint="eastAsia" w:ascii="黑体" w:hAnsi="Times New Roman" w:eastAsia="黑体" w:cs="Times New Roman"/>
          <w:sz w:val="32"/>
          <w:szCs w:val="32"/>
          <w:lang w:val="en-US" w:eastAsia="zh-CN"/>
        </w:rPr>
        <w:t>四</w:t>
      </w:r>
      <w:r>
        <w:rPr>
          <w:rFonts w:hint="eastAsia" w:ascii="黑体" w:hAnsi="Times New Roman" w:eastAsia="黑体" w:cs="Times New Roman"/>
          <w:sz w:val="32"/>
          <w:szCs w:val="32"/>
        </w:rPr>
        <w:t>、</w:t>
      </w:r>
      <w:r>
        <w:rPr>
          <w:rFonts w:hint="eastAsia" w:ascii="黑体" w:hAnsi="Times New Roman" w:eastAsia="黑体" w:cs="Times New Roman"/>
          <w:sz w:val="32"/>
          <w:szCs w:val="32"/>
          <w:lang w:val="en-US" w:eastAsia="zh-CN"/>
        </w:rPr>
        <w:t>标准编制</w:t>
      </w:r>
      <w:r>
        <w:rPr>
          <w:rFonts w:hint="eastAsia" w:ascii="黑体" w:hAnsi="Times New Roman" w:eastAsia="黑体" w:cs="Times New Roman"/>
          <w:sz w:val="32"/>
          <w:szCs w:val="32"/>
        </w:rPr>
        <w:t>过程</w:t>
      </w:r>
    </w:p>
    <w:p w14:paraId="0AF368C8">
      <w:pPr>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本标准的主要编制过程如下：</w:t>
      </w:r>
    </w:p>
    <w:p w14:paraId="0FC4FECD">
      <w:pPr>
        <w:ind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1.成立《食品安全</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你点我检</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你送我检</w:t>
      </w:r>
      <w:r>
        <w:rPr>
          <w:rFonts w:hint="eastAsia" w:ascii="仿宋_GB2312" w:eastAsia="仿宋_GB2312"/>
          <w:b w:val="0"/>
          <w:bCs w:val="0"/>
          <w:sz w:val="32"/>
          <w:szCs w:val="32"/>
          <w:lang w:val="en-US" w:eastAsia="zh-CN"/>
        </w:rPr>
        <w:t>”</w:t>
      </w:r>
      <w:r>
        <w:rPr>
          <w:rFonts w:hint="default" w:ascii="仿宋_GB2312" w:eastAsia="仿宋_GB2312"/>
          <w:sz w:val="32"/>
          <w:szCs w:val="32"/>
          <w:lang w:val="en-US" w:eastAsia="zh-CN"/>
        </w:rPr>
        <w:t>工作流程</w:t>
      </w:r>
      <w:r>
        <w:rPr>
          <w:rFonts w:hint="eastAsia" w:ascii="仿宋_GB2312" w:eastAsia="仿宋_GB2312"/>
          <w:sz w:val="32"/>
          <w:szCs w:val="32"/>
          <w:lang w:val="en-US" w:eastAsia="zh-CN"/>
        </w:rPr>
        <w:t>与</w:t>
      </w:r>
      <w:r>
        <w:rPr>
          <w:rFonts w:hint="default" w:ascii="仿宋_GB2312" w:eastAsia="仿宋_GB2312"/>
          <w:sz w:val="32"/>
          <w:szCs w:val="32"/>
          <w:lang w:val="en-US" w:eastAsia="zh-CN"/>
        </w:rPr>
        <w:t>成效评价》省级地方标准起草小组，对该标准内容进行调研、论证，收集相关文献资料，完成前期调研和资料收集工作；多次召开标准起草研讨会，从学理上对本</w:t>
      </w:r>
      <w:r>
        <w:rPr>
          <w:rFonts w:hint="eastAsia" w:ascii="仿宋_GB2312" w:eastAsia="仿宋_GB2312"/>
          <w:sz w:val="32"/>
          <w:szCs w:val="32"/>
          <w:lang w:val="en-US" w:eastAsia="zh-CN"/>
        </w:rPr>
        <w:t>标准的可行性</w:t>
      </w:r>
      <w:r>
        <w:rPr>
          <w:rFonts w:hint="default" w:ascii="仿宋_GB2312" w:eastAsia="仿宋_GB2312"/>
          <w:sz w:val="32"/>
          <w:szCs w:val="32"/>
          <w:lang w:val="en-US" w:eastAsia="zh-CN"/>
        </w:rPr>
        <w:t>进行论证，对前期调研收集的资料进行筛选，确定标准起草的主要内容，完成标准草案起草；</w:t>
      </w:r>
    </w:p>
    <w:p w14:paraId="53C93FF0">
      <w:pPr>
        <w:spacing w:line="580" w:lineRule="exact"/>
        <w:ind w:firstLine="640" w:firstLineChars="200"/>
        <w:rPr>
          <w:rFonts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2.整理资料、查阅文献，编制标准草案，形成标准征求意见稿；</w:t>
      </w:r>
    </w:p>
    <w:p w14:paraId="0FC2B007">
      <w:pPr>
        <w:ind w:firstLine="640" w:firstLineChars="200"/>
        <w:rPr>
          <w:rFonts w:hint="eastAsia" w:ascii="仿宋_GB2312" w:hAnsi="Times New Roman" w:eastAsia="仿宋_GB2312" w:cs="Times New Roman"/>
          <w:color w:val="000000"/>
          <w:kern w:val="0"/>
          <w:sz w:val="32"/>
          <w:szCs w:val="32"/>
        </w:rPr>
      </w:pPr>
      <w:r>
        <w:rPr>
          <w:rFonts w:hint="eastAsia" w:ascii="仿宋_GB2312" w:hAnsi="Times New Roman" w:eastAsia="仿宋_GB2312" w:cs="Times New Roman"/>
          <w:color w:val="000000"/>
          <w:kern w:val="0"/>
          <w:sz w:val="32"/>
          <w:szCs w:val="32"/>
        </w:rPr>
        <w:t>3.参加立项答辩，根据立项会专家意见修改标准文本。</w:t>
      </w:r>
    </w:p>
    <w:p w14:paraId="410D8E33">
      <w:pPr>
        <w:spacing w:line="580" w:lineRule="exact"/>
        <w:ind w:firstLine="640" w:firstLineChars="200"/>
        <w:rPr>
          <w:rFonts w:ascii="黑体" w:hAnsi="黑体" w:eastAsia="黑体" w:cs="黑体"/>
          <w:bCs/>
          <w:kern w:val="0"/>
          <w:sz w:val="32"/>
          <w:szCs w:val="32"/>
        </w:rPr>
      </w:pPr>
      <w:r>
        <w:rPr>
          <w:rFonts w:hint="eastAsia" w:ascii="黑体" w:hAnsi="黑体" w:eastAsia="黑体" w:cs="黑体"/>
          <w:bCs/>
          <w:kern w:val="0"/>
          <w:sz w:val="32"/>
          <w:szCs w:val="32"/>
        </w:rPr>
        <w:t>五、标准主要条款编制说明</w:t>
      </w:r>
    </w:p>
    <w:p w14:paraId="7482986D">
      <w:pPr>
        <w:widowControl/>
        <w:spacing w:line="580" w:lineRule="exact"/>
        <w:ind w:firstLine="643" w:firstLineChars="200"/>
        <w:outlineLvl w:val="0"/>
        <w:rPr>
          <w:rFonts w:ascii="仿宋_GB2312" w:hAnsi="Times New Roman" w:eastAsia="仿宋_GB2312" w:cs="Times New Roman"/>
          <w:b/>
          <w:bCs/>
          <w:kern w:val="0"/>
          <w:sz w:val="32"/>
          <w:szCs w:val="32"/>
        </w:rPr>
      </w:pPr>
      <w:r>
        <w:rPr>
          <w:rFonts w:hint="eastAsia" w:ascii="仿宋_GB2312" w:hAnsi="Times New Roman" w:eastAsia="仿宋_GB2312" w:cs="Times New Roman"/>
          <w:b/>
          <w:bCs/>
          <w:kern w:val="0"/>
          <w:sz w:val="32"/>
          <w:szCs w:val="32"/>
        </w:rPr>
        <w:t>（一）标准适用范围</w:t>
      </w:r>
    </w:p>
    <w:p w14:paraId="6759EE7A">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rPr>
        <w:t>规定了食品安全“你点我检”“你送我检”工作的工作原则、工作流程、成效评价。</w:t>
      </w:r>
    </w:p>
    <w:p w14:paraId="483296CF">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rPr>
        <w:t>适用于食品安全“你点我检”“你送我检”工作流程</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成效评价。</w:t>
      </w:r>
    </w:p>
    <w:p w14:paraId="1C95ACE6">
      <w:pPr>
        <w:widowControl/>
        <w:spacing w:line="580" w:lineRule="exact"/>
        <w:ind w:firstLine="643" w:firstLineChars="200"/>
        <w:outlineLvl w:val="0"/>
        <w:rPr>
          <w:rFonts w:ascii="仿宋_GB2312" w:hAnsi="Times New Roman" w:eastAsia="仿宋_GB2312" w:cs="Times New Roman"/>
          <w:b/>
          <w:bCs/>
          <w:kern w:val="0"/>
          <w:sz w:val="32"/>
          <w:szCs w:val="32"/>
        </w:rPr>
      </w:pPr>
      <w:r>
        <w:rPr>
          <w:rFonts w:hint="eastAsia" w:ascii="仿宋_GB2312" w:hAnsi="Times New Roman" w:eastAsia="仿宋_GB2312" w:cs="Times New Roman"/>
          <w:b/>
          <w:bCs/>
          <w:kern w:val="0"/>
          <w:sz w:val="32"/>
          <w:szCs w:val="32"/>
        </w:rPr>
        <w:t>（二）标准引用文件</w:t>
      </w:r>
    </w:p>
    <w:p w14:paraId="2E1AC25F">
      <w:pPr>
        <w:ind w:firstLine="640" w:firstLineChars="200"/>
        <w:rPr>
          <w:rFonts w:hint="eastAsia" w:ascii="仿宋_GB2312" w:hAnsi="Times New Roman" w:eastAsia="仿宋_GB2312" w:cs="Times New Roman"/>
          <w:color w:val="000000"/>
          <w:kern w:val="0"/>
          <w:sz w:val="32"/>
          <w:szCs w:val="32"/>
          <w:lang w:val="en-US" w:eastAsia="zh-CN"/>
        </w:rPr>
      </w:pPr>
      <w:r>
        <w:rPr>
          <w:rFonts w:hint="eastAsia" w:ascii="仿宋_GB2312" w:hAnsi="Times New Roman" w:eastAsia="仿宋_GB2312" w:cs="Times New Roman"/>
          <w:color w:val="000000"/>
          <w:kern w:val="0"/>
          <w:sz w:val="32"/>
          <w:szCs w:val="32"/>
          <w:lang w:val="en-US" w:eastAsia="zh-CN"/>
        </w:rPr>
        <w:t>DB36/T 1912-2023 食品安全满意度监测指南。</w:t>
      </w:r>
    </w:p>
    <w:p w14:paraId="6662894B">
      <w:pPr>
        <w:widowControl/>
        <w:spacing w:line="580" w:lineRule="exact"/>
        <w:ind w:firstLine="643" w:firstLineChars="200"/>
        <w:outlineLvl w:val="0"/>
        <w:rPr>
          <w:rFonts w:ascii="仿宋_GB2312" w:hAnsi="Times New Roman" w:eastAsia="仿宋_GB2312" w:cs="Times New Roman"/>
          <w:b/>
          <w:bCs/>
          <w:kern w:val="0"/>
          <w:sz w:val="32"/>
          <w:szCs w:val="32"/>
        </w:rPr>
      </w:pPr>
      <w:r>
        <w:rPr>
          <w:rFonts w:hint="eastAsia" w:ascii="仿宋_GB2312" w:hAnsi="Times New Roman" w:eastAsia="仿宋_GB2312" w:cs="Times New Roman"/>
          <w:b/>
          <w:bCs/>
          <w:kern w:val="0"/>
          <w:sz w:val="32"/>
          <w:szCs w:val="32"/>
        </w:rPr>
        <w:t>（三）标准主要内容</w:t>
      </w:r>
    </w:p>
    <w:p w14:paraId="53C78D70">
      <w:pPr>
        <w:spacing w:line="580" w:lineRule="exact"/>
        <w:ind w:firstLine="643" w:firstLineChars="200"/>
        <w:rPr>
          <w:rFonts w:ascii="仿宋_GB2312" w:hAnsi="Times New Roman" w:eastAsia="仿宋_GB2312" w:cs="Times New Roman"/>
          <w:b/>
          <w:color w:val="000000"/>
          <w:sz w:val="32"/>
          <w:szCs w:val="32"/>
        </w:rPr>
      </w:pPr>
      <w:r>
        <w:rPr>
          <w:rFonts w:hint="eastAsia" w:ascii="仿宋_GB2312" w:hAnsi="Times New Roman" w:eastAsia="仿宋_GB2312" w:cs="Times New Roman"/>
          <w:b/>
          <w:color w:val="000000"/>
          <w:sz w:val="32"/>
          <w:szCs w:val="32"/>
        </w:rPr>
        <w:t>1.术语</w:t>
      </w:r>
      <w:r>
        <w:rPr>
          <w:rFonts w:hint="eastAsia" w:ascii="仿宋_GB2312" w:hAnsi="Times New Roman" w:eastAsia="仿宋_GB2312" w:cs="Times New Roman"/>
          <w:b/>
          <w:color w:val="000000"/>
          <w:sz w:val="32"/>
          <w:szCs w:val="32"/>
          <w:lang w:val="en-US" w:eastAsia="zh-CN"/>
        </w:rPr>
        <w:t>和</w:t>
      </w:r>
      <w:r>
        <w:rPr>
          <w:rFonts w:hint="eastAsia" w:ascii="仿宋_GB2312" w:hAnsi="Times New Roman" w:eastAsia="仿宋_GB2312" w:cs="Times New Roman"/>
          <w:b/>
          <w:color w:val="000000"/>
          <w:sz w:val="32"/>
          <w:szCs w:val="32"/>
        </w:rPr>
        <w:t>定义</w:t>
      </w:r>
    </w:p>
    <w:p w14:paraId="505218A8">
      <w:pPr>
        <w:ind w:firstLine="640" w:firstLineChars="200"/>
        <w:rPr>
          <w:rFonts w:hint="eastAsia" w:ascii="仿宋_GB2312" w:hAnsi="Times New Roman" w:eastAsia="仿宋_GB2312"/>
          <w:color w:val="000000"/>
          <w:sz w:val="32"/>
          <w:szCs w:val="32"/>
        </w:rPr>
      </w:pPr>
      <w:r>
        <w:rPr>
          <w:rFonts w:hint="eastAsia" w:ascii="仿宋_GB2312" w:hAnsi="Times New Roman" w:eastAsia="仿宋_GB2312"/>
          <w:color w:val="000000"/>
          <w:sz w:val="32"/>
          <w:szCs w:val="32"/>
        </w:rPr>
        <w:t>本标准主要对食品安全“你点我检”</w:t>
      </w:r>
      <w:r>
        <w:rPr>
          <w:rFonts w:hint="eastAsia" w:ascii="仿宋_GB2312" w:hAnsi="Times New Roman" w:eastAsia="仿宋_GB2312"/>
          <w:color w:val="000000"/>
          <w:sz w:val="32"/>
          <w:szCs w:val="32"/>
          <w:lang w:val="en-US" w:eastAsia="zh-CN"/>
        </w:rPr>
        <w:t>和食品安全“你送我检”</w:t>
      </w:r>
      <w:r>
        <w:rPr>
          <w:rFonts w:hint="eastAsia" w:ascii="仿宋_GB2312" w:hAnsi="Times New Roman" w:eastAsia="仿宋_GB2312"/>
          <w:color w:val="000000"/>
          <w:sz w:val="32"/>
          <w:szCs w:val="32"/>
        </w:rPr>
        <w:t>术语</w:t>
      </w:r>
      <w:r>
        <w:rPr>
          <w:rFonts w:hint="eastAsia" w:ascii="仿宋_GB2312" w:hAnsi="Times New Roman" w:eastAsia="仿宋_GB2312"/>
          <w:color w:val="000000"/>
          <w:sz w:val="32"/>
          <w:szCs w:val="32"/>
          <w:lang w:val="en-US" w:eastAsia="zh-CN"/>
        </w:rPr>
        <w:t>和定义</w:t>
      </w:r>
      <w:r>
        <w:rPr>
          <w:rFonts w:hint="eastAsia" w:ascii="仿宋_GB2312" w:hAnsi="Times New Roman" w:eastAsia="仿宋_GB2312"/>
          <w:color w:val="000000"/>
          <w:sz w:val="32"/>
          <w:szCs w:val="32"/>
        </w:rPr>
        <w:t>做出了解释说明。详见标准文本第3部分。</w:t>
      </w:r>
    </w:p>
    <w:p w14:paraId="1F4A42CD">
      <w:pPr>
        <w:spacing w:line="580" w:lineRule="exact"/>
        <w:ind w:firstLine="643" w:firstLineChars="200"/>
        <w:rPr>
          <w:rFonts w:hint="eastAsia" w:ascii="仿宋_GB2312" w:hAnsi="Times New Roman" w:eastAsia="仿宋_GB2312" w:cs="Times New Roman"/>
          <w:b/>
          <w:color w:val="000000"/>
          <w:sz w:val="32"/>
          <w:szCs w:val="32"/>
          <w:lang w:val="en-US" w:eastAsia="zh-CN"/>
        </w:rPr>
      </w:pPr>
      <w:r>
        <w:rPr>
          <w:rFonts w:hint="eastAsia" w:ascii="仿宋_GB2312" w:hAnsi="Times New Roman" w:eastAsia="仿宋_GB2312" w:cs="Times New Roman"/>
          <w:b/>
          <w:color w:val="000000"/>
          <w:sz w:val="32"/>
          <w:szCs w:val="32"/>
          <w:lang w:val="en-US" w:eastAsia="zh-CN"/>
        </w:rPr>
        <w:t>2.工作原则</w:t>
      </w:r>
    </w:p>
    <w:p w14:paraId="40048515">
      <w:pPr>
        <w:ind w:firstLine="640" w:firstLineChars="200"/>
        <w:rPr>
          <w:rFonts w:hint="eastAsia" w:ascii="仿宋_GB2312" w:hAnsi="Times New Roman" w:eastAsia="仿宋_GB2312"/>
          <w:color w:val="000000"/>
          <w:sz w:val="32"/>
          <w:szCs w:val="32"/>
          <w:lang w:val="en-US" w:eastAsia="zh-CN"/>
        </w:rPr>
      </w:pPr>
      <w:r>
        <w:rPr>
          <w:rFonts w:hint="eastAsia" w:ascii="仿宋_GB2312" w:hAnsi="Times New Roman" w:eastAsia="仿宋_GB2312"/>
          <w:color w:val="000000"/>
          <w:sz w:val="32"/>
          <w:szCs w:val="32"/>
          <w:lang w:val="en-US" w:eastAsia="zh-CN"/>
        </w:rPr>
        <w:t>明确了食品安全“你点我检”“你送我检”工作流程与成效评价应遵循的原则，包括坚持规范有序、坚持需求导向、坚持公开透明、坚持广泛参与。</w:t>
      </w:r>
    </w:p>
    <w:p w14:paraId="05EB8515">
      <w:pPr>
        <w:spacing w:line="580" w:lineRule="exact"/>
        <w:ind w:firstLine="643" w:firstLineChars="200"/>
        <w:rPr>
          <w:rFonts w:hint="eastAsia" w:ascii="仿宋_GB2312" w:hAnsi="Times New Roman" w:eastAsia="仿宋_GB2312" w:cs="Times New Roman"/>
          <w:b/>
          <w:color w:val="000000"/>
          <w:sz w:val="32"/>
          <w:szCs w:val="32"/>
          <w:lang w:val="en-US" w:eastAsia="zh-CN"/>
        </w:rPr>
      </w:pPr>
      <w:r>
        <w:rPr>
          <w:rFonts w:hint="eastAsia" w:ascii="仿宋_GB2312" w:hAnsi="Times New Roman" w:eastAsia="仿宋_GB2312" w:cs="Times New Roman"/>
          <w:b/>
          <w:color w:val="000000"/>
          <w:sz w:val="32"/>
          <w:szCs w:val="32"/>
          <w:lang w:val="en-US" w:eastAsia="zh-CN"/>
        </w:rPr>
        <w:t>3.工作流程</w:t>
      </w:r>
    </w:p>
    <w:p w14:paraId="7FB41BBC">
      <w:pPr>
        <w:ind w:firstLine="640" w:firstLineChars="200"/>
        <w:rPr>
          <w:rFonts w:hint="default" w:ascii="仿宋_GB2312" w:hAnsi="Times New Roman" w:eastAsia="仿宋_GB2312"/>
          <w:color w:val="000000"/>
          <w:sz w:val="32"/>
          <w:szCs w:val="32"/>
          <w:lang w:val="en-US" w:eastAsia="zh-CN"/>
        </w:rPr>
      </w:pPr>
      <w:r>
        <w:rPr>
          <w:rFonts w:hint="eastAsia" w:ascii="仿宋_GB2312" w:hAnsi="Times New Roman" w:eastAsia="仿宋_GB2312"/>
          <w:color w:val="000000"/>
          <w:sz w:val="32"/>
          <w:szCs w:val="32"/>
          <w:lang w:val="en-US" w:eastAsia="zh-CN"/>
        </w:rPr>
        <w:t>工作流程包括制定方案、意见征集及样品收集、抽样、检验、核查处置及结果公示，规范和指导了食品安全“你点我检”“你送我检”工作流程。</w:t>
      </w:r>
    </w:p>
    <w:p w14:paraId="07872C17">
      <w:pPr>
        <w:spacing w:line="580" w:lineRule="exact"/>
        <w:ind w:firstLine="643" w:firstLineChars="200"/>
        <w:rPr>
          <w:rFonts w:hint="eastAsia" w:ascii="仿宋_GB2312" w:hAnsi="Times New Roman" w:eastAsia="仿宋_GB2312" w:cs="Times New Roman"/>
          <w:b/>
          <w:color w:val="000000"/>
          <w:sz w:val="32"/>
          <w:szCs w:val="32"/>
          <w:lang w:val="en-US" w:eastAsia="zh-CN"/>
        </w:rPr>
      </w:pPr>
      <w:r>
        <w:rPr>
          <w:rFonts w:hint="eastAsia" w:ascii="仿宋_GB2312" w:hAnsi="Times New Roman" w:eastAsia="仿宋_GB2312" w:cs="Times New Roman"/>
          <w:b/>
          <w:color w:val="000000"/>
          <w:sz w:val="32"/>
          <w:szCs w:val="32"/>
          <w:lang w:val="en-US" w:eastAsia="zh-CN"/>
        </w:rPr>
        <w:t>4.成效评价</w:t>
      </w:r>
    </w:p>
    <w:p w14:paraId="1562250E">
      <w:pPr>
        <w:ind w:firstLine="640" w:firstLineChars="200"/>
        <w:rPr>
          <w:rFonts w:hint="eastAsia" w:ascii="仿宋_GB2312" w:hAnsi="Times New Roman" w:eastAsia="仿宋_GB2312"/>
          <w:color w:val="000000"/>
          <w:sz w:val="32"/>
          <w:szCs w:val="32"/>
          <w:lang w:val="en-US" w:eastAsia="zh-CN"/>
        </w:rPr>
      </w:pPr>
      <w:r>
        <w:rPr>
          <w:rFonts w:hint="eastAsia" w:ascii="仿宋_GB2312" w:hAnsi="Times New Roman" w:eastAsia="仿宋_GB2312"/>
          <w:color w:val="000000"/>
          <w:sz w:val="32"/>
          <w:szCs w:val="32"/>
          <w:lang w:val="en-US" w:eastAsia="zh-CN"/>
        </w:rPr>
        <w:t>成效评价包含了食品安全“你点我检”“你送我检”成效评价的评价要求、评价流程、评价内容、评价方法、结果分析、撰写评价报告、评价结果应用。</w:t>
      </w:r>
    </w:p>
    <w:p w14:paraId="40784148">
      <w:pPr>
        <w:spacing w:line="580" w:lineRule="exact"/>
        <w:ind w:firstLine="643" w:firstLineChars="200"/>
        <w:rPr>
          <w:rFonts w:hint="eastAsia" w:ascii="仿宋_GB2312" w:hAnsi="Times New Roman" w:eastAsia="仿宋_GB2312" w:cs="Times New Roman"/>
          <w:b/>
          <w:color w:val="000000"/>
          <w:sz w:val="32"/>
          <w:szCs w:val="32"/>
          <w:lang w:val="en-US" w:eastAsia="zh-CN"/>
        </w:rPr>
      </w:pPr>
      <w:r>
        <w:rPr>
          <w:rFonts w:hint="eastAsia" w:ascii="仿宋_GB2312" w:hAnsi="Times New Roman" w:eastAsia="仿宋_GB2312" w:cs="Times New Roman"/>
          <w:b/>
          <w:color w:val="000000"/>
          <w:sz w:val="32"/>
          <w:szCs w:val="32"/>
          <w:lang w:val="en-US" w:eastAsia="zh-CN"/>
        </w:rPr>
        <w:t>5.附录部分</w:t>
      </w:r>
    </w:p>
    <w:p w14:paraId="379E2B24">
      <w:pPr>
        <w:ind w:firstLine="640" w:firstLineChars="200"/>
        <w:rPr>
          <w:rFonts w:hint="eastAsia" w:ascii="仿宋_GB2312" w:hAnsi="Times New Roman" w:eastAsia="仿宋_GB2312"/>
          <w:color w:val="000000"/>
          <w:sz w:val="32"/>
          <w:szCs w:val="32"/>
          <w:lang w:val="en-US" w:eastAsia="zh-CN"/>
        </w:rPr>
      </w:pPr>
      <w:r>
        <w:rPr>
          <w:rFonts w:hint="eastAsia" w:ascii="仿宋_GB2312" w:hAnsi="Times New Roman" w:eastAsia="仿宋_GB2312"/>
          <w:color w:val="000000"/>
          <w:sz w:val="32"/>
          <w:szCs w:val="32"/>
          <w:lang w:val="en-US" w:eastAsia="zh-CN"/>
        </w:rPr>
        <w:t>附录部分由3个资料性的附录组成，包含了食品安全“你点我检”意见征集问卷、食品安全“你点我检”“你送我检”工作成效调查表、食品安全“你点我检”“你送我检”工作成效调查指标参考权重及计算。</w:t>
      </w:r>
    </w:p>
    <w:p w14:paraId="12186A80">
      <w:pPr>
        <w:spacing w:line="580" w:lineRule="exact"/>
        <w:ind w:firstLine="640" w:firstLineChars="200"/>
        <w:rPr>
          <w:rFonts w:hint="default"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rPr>
        <w:t>六</w:t>
      </w:r>
      <w:r>
        <w:rPr>
          <w:rFonts w:hint="default" w:ascii="黑体" w:hAnsi="黑体" w:eastAsia="黑体" w:cs="黑体"/>
          <w:bCs/>
          <w:kern w:val="0"/>
          <w:sz w:val="32"/>
          <w:szCs w:val="32"/>
          <w:lang w:val="en-US" w:eastAsia="zh-CN"/>
        </w:rPr>
        <w:t>、重大意见分歧的处理依据和结果</w:t>
      </w:r>
    </w:p>
    <w:p w14:paraId="142C2132">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本标准在制定过程中，未出现重大意见分歧。</w:t>
      </w:r>
    </w:p>
    <w:p w14:paraId="0A03A67F">
      <w:pPr>
        <w:spacing w:line="580" w:lineRule="exact"/>
        <w:ind w:firstLine="640" w:firstLineChars="200"/>
        <w:rPr>
          <w:rFonts w:hint="eastAsia" w:ascii="黑体" w:hAnsi="黑体" w:eastAsia="黑体" w:cs="黑体"/>
          <w:bCs/>
          <w:kern w:val="0"/>
          <w:sz w:val="32"/>
          <w:szCs w:val="32"/>
        </w:rPr>
      </w:pPr>
      <w:r>
        <w:rPr>
          <w:rFonts w:hint="eastAsia" w:ascii="黑体" w:hAnsi="黑体" w:eastAsia="黑体" w:cs="黑体"/>
          <w:bCs/>
          <w:kern w:val="0"/>
          <w:sz w:val="32"/>
          <w:szCs w:val="32"/>
          <w:lang w:val="en-US" w:eastAsia="zh-CN"/>
        </w:rPr>
        <w:t>七</w:t>
      </w:r>
      <w:r>
        <w:rPr>
          <w:rFonts w:hint="eastAsia" w:ascii="黑体" w:hAnsi="黑体" w:eastAsia="黑体" w:cs="黑体"/>
          <w:bCs/>
          <w:kern w:val="0"/>
          <w:sz w:val="32"/>
          <w:szCs w:val="32"/>
        </w:rPr>
        <w:t>、与有关的现行法律、法规和强制性标准的关系</w:t>
      </w:r>
    </w:p>
    <w:p w14:paraId="53797A3A">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本标准与有关的现行法律、法规和强制性标准不冲突。</w:t>
      </w:r>
    </w:p>
    <w:p w14:paraId="66A38A9B">
      <w:pPr>
        <w:numPr>
          <w:ilvl w:val="0"/>
          <w:numId w:val="0"/>
        </w:numPr>
        <w:spacing w:line="580" w:lineRule="exact"/>
        <w:ind w:firstLine="640" w:firstLineChars="200"/>
        <w:rPr>
          <w:rFonts w:hint="default" w:ascii="黑体" w:hAnsi="黑体" w:eastAsia="黑体" w:cs="黑体"/>
          <w:bCs/>
          <w:kern w:val="0"/>
          <w:sz w:val="32"/>
          <w:szCs w:val="32"/>
          <w:lang w:val="en-US" w:eastAsia="zh-CN"/>
        </w:rPr>
      </w:pPr>
      <w:r>
        <w:rPr>
          <w:rFonts w:hint="eastAsia" w:ascii="黑体" w:hAnsi="黑体" w:eastAsia="黑体" w:cs="黑体"/>
          <w:bCs/>
          <w:kern w:val="0"/>
          <w:sz w:val="32"/>
          <w:szCs w:val="32"/>
          <w:lang w:val="en-US" w:eastAsia="zh-CN" w:bidi="ar-SA"/>
        </w:rPr>
        <w:t>八、</w:t>
      </w:r>
      <w:r>
        <w:rPr>
          <w:rFonts w:hint="default" w:ascii="黑体" w:hAnsi="黑体" w:eastAsia="黑体" w:cs="黑体"/>
          <w:bCs/>
          <w:kern w:val="0"/>
          <w:sz w:val="32"/>
          <w:szCs w:val="32"/>
          <w:lang w:val="en-US" w:eastAsia="zh-CN"/>
        </w:rPr>
        <w:t>标准实施预期效益</w:t>
      </w:r>
    </w:p>
    <w:p w14:paraId="14D36D0E">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本标准旨在为</w:t>
      </w:r>
      <w:r>
        <w:rPr>
          <w:rFonts w:hint="eastAsia" w:ascii="仿宋_GB2312" w:hAnsi="Times New Roman" w:eastAsia="仿宋_GB2312" w:cs="Times New Roman"/>
          <w:b w:val="0"/>
          <w:bCs w:val="0"/>
          <w:kern w:val="0"/>
          <w:sz w:val="32"/>
          <w:szCs w:val="32"/>
          <w:lang w:val="en-US" w:eastAsia="zh-CN" w:bidi="ar-SA"/>
        </w:rPr>
        <w:t>江西省各地相关职能部门组织开展食品安全“你点我检”“你送我检”工作及其成效评价提供指引，坚持“重在应用、贵在实用”原则，着力推进食品安全“你点我检”“你送我检”及其成效评价工作，提升实用性、针对性，切实做好食品安全“你点我检”“你送我检”工作，通过让消费者参与到食品安全监管中来，增强消费者的参与感和信任感，提高我省食品安全的监管效率和我省百姓的食品安全意识。</w:t>
      </w:r>
    </w:p>
    <w:p w14:paraId="367685AE">
      <w:pPr>
        <w:numPr>
          <w:ilvl w:val="0"/>
          <w:numId w:val="0"/>
        </w:numPr>
        <w:spacing w:line="580" w:lineRule="exact"/>
        <w:ind w:firstLine="640" w:firstLineChars="200"/>
        <w:rPr>
          <w:rFonts w:hint="default" w:ascii="黑体" w:hAnsi="黑体" w:eastAsia="黑体" w:cs="黑体"/>
          <w:bCs/>
          <w:kern w:val="0"/>
          <w:sz w:val="32"/>
          <w:szCs w:val="32"/>
          <w:lang w:val="en-US" w:eastAsia="zh-CN" w:bidi="ar-SA"/>
        </w:rPr>
      </w:pPr>
      <w:r>
        <w:rPr>
          <w:rFonts w:hint="eastAsia" w:ascii="黑体" w:hAnsi="黑体" w:eastAsia="黑体" w:cs="黑体"/>
          <w:bCs/>
          <w:kern w:val="0"/>
          <w:sz w:val="32"/>
          <w:szCs w:val="32"/>
          <w:lang w:val="en-US" w:eastAsia="zh-CN" w:bidi="ar-SA"/>
        </w:rPr>
        <w:t>九、</w:t>
      </w:r>
      <w:r>
        <w:rPr>
          <w:rFonts w:hint="default" w:ascii="黑体" w:hAnsi="黑体" w:eastAsia="黑体" w:cs="黑体"/>
          <w:bCs/>
          <w:kern w:val="0"/>
          <w:sz w:val="32"/>
          <w:szCs w:val="32"/>
          <w:lang w:val="en-US" w:eastAsia="zh-CN" w:bidi="ar-SA"/>
        </w:rPr>
        <w:t>贯彻标准的要求和措施建议</w:t>
      </w:r>
    </w:p>
    <w:p w14:paraId="151844D3">
      <w:pPr>
        <w:numPr>
          <w:ilvl w:val="0"/>
          <w:numId w:val="0"/>
        </w:numPr>
        <w:spacing w:line="580" w:lineRule="exact"/>
        <w:ind w:firstLine="640" w:firstLineChars="20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1.建议有关部门将本标准下发至各地各级政府部门。</w:t>
      </w:r>
    </w:p>
    <w:p w14:paraId="09E9B6A6">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2.建议召开宣讲会，详细讲解本标准的意义及相关要求。</w:t>
      </w:r>
    </w:p>
    <w:p w14:paraId="072A17CE">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3.建议各地认真对照本标准，梳理盘点本地区食品安全</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你点我检</w:t>
      </w:r>
      <w:r>
        <w:rPr>
          <w:rFonts w:hint="eastAsia" w:ascii="仿宋_GB2312" w:eastAsia="仿宋_GB2312"/>
          <w:b w:val="0"/>
          <w:bCs w:val="0"/>
          <w:sz w:val="32"/>
          <w:szCs w:val="32"/>
          <w:lang w:val="en-US" w:eastAsia="zh-CN"/>
        </w:rPr>
        <w:t>”“</w:t>
      </w:r>
      <w:r>
        <w:rPr>
          <w:rFonts w:hint="default" w:ascii="仿宋_GB2312" w:eastAsia="仿宋_GB2312"/>
          <w:b w:val="0"/>
          <w:bCs w:val="0"/>
          <w:sz w:val="32"/>
          <w:szCs w:val="32"/>
          <w:lang w:val="en-US" w:eastAsia="zh-CN"/>
        </w:rPr>
        <w:t>你送我检</w:t>
      </w:r>
      <w:r>
        <w:rPr>
          <w:rFonts w:hint="eastAsia" w:ascii="仿宋_GB2312" w:eastAsia="仿宋_GB2312"/>
          <w:b w:val="0"/>
          <w:bCs w:val="0"/>
          <w:sz w:val="32"/>
          <w:szCs w:val="32"/>
          <w:lang w:val="en-US" w:eastAsia="zh-CN"/>
        </w:rPr>
        <w:t>”</w:t>
      </w:r>
      <w:r>
        <w:rPr>
          <w:rFonts w:hint="eastAsia" w:ascii="仿宋_GB2312" w:hAnsi="Times New Roman" w:eastAsia="仿宋_GB2312" w:cs="Times New Roman"/>
          <w:b w:val="0"/>
          <w:bCs w:val="0"/>
          <w:kern w:val="0"/>
          <w:sz w:val="32"/>
          <w:szCs w:val="32"/>
          <w:lang w:val="en-US" w:eastAsia="zh-CN" w:bidi="ar-SA"/>
        </w:rPr>
        <w:t>工作</w:t>
      </w:r>
      <w:r>
        <w:rPr>
          <w:rFonts w:hint="default" w:ascii="仿宋_GB2312" w:hAnsi="Times New Roman" w:eastAsia="仿宋_GB2312" w:cs="Times New Roman"/>
          <w:b w:val="0"/>
          <w:bCs w:val="0"/>
          <w:kern w:val="0"/>
          <w:sz w:val="32"/>
          <w:szCs w:val="32"/>
          <w:lang w:val="en-US" w:eastAsia="zh-CN" w:bidi="ar-SA"/>
        </w:rPr>
        <w:t>优势与短板，针对短板补齐不足，不断完善</w:t>
      </w:r>
      <w:r>
        <w:rPr>
          <w:rFonts w:hint="eastAsia" w:ascii="仿宋_GB2312" w:hAnsi="Times New Roman" w:eastAsia="仿宋_GB2312" w:cs="Times New Roman"/>
          <w:b w:val="0"/>
          <w:bCs w:val="0"/>
          <w:kern w:val="0"/>
          <w:sz w:val="32"/>
          <w:szCs w:val="32"/>
          <w:lang w:val="en-US" w:eastAsia="zh-CN" w:bidi="ar-SA"/>
        </w:rPr>
        <w:t>食品安全“你点我检”“你送我检”工作的</w:t>
      </w:r>
      <w:r>
        <w:rPr>
          <w:rFonts w:hint="default" w:ascii="仿宋_GB2312" w:hAnsi="Times New Roman" w:eastAsia="仿宋_GB2312" w:cs="Times New Roman"/>
          <w:b w:val="0"/>
          <w:bCs w:val="0"/>
          <w:kern w:val="0"/>
          <w:sz w:val="32"/>
          <w:szCs w:val="32"/>
          <w:lang w:val="en-US" w:eastAsia="zh-CN" w:bidi="ar-SA"/>
        </w:rPr>
        <w:t>功能和实效。</w:t>
      </w:r>
    </w:p>
    <w:p w14:paraId="72CBBEA8">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p>
    <w:p w14:paraId="039F984A">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p>
    <w:p w14:paraId="67F448AC">
      <w:pPr>
        <w:widowControl/>
        <w:numPr>
          <w:ilvl w:val="0"/>
          <w:numId w:val="0"/>
        </w:numPr>
        <w:spacing w:line="580" w:lineRule="exact"/>
        <w:ind w:firstLine="640" w:firstLineChars="200"/>
        <w:outlineLvl w:val="0"/>
        <w:rPr>
          <w:rFonts w:hint="default" w:ascii="仿宋_GB2312" w:hAnsi="Times New Roman" w:eastAsia="仿宋_GB2312" w:cs="Times New Roman"/>
          <w:b w:val="0"/>
          <w:bCs w:val="0"/>
          <w:kern w:val="0"/>
          <w:sz w:val="32"/>
          <w:szCs w:val="32"/>
          <w:lang w:val="en-US" w:eastAsia="zh-CN" w:bidi="ar-SA"/>
        </w:rPr>
      </w:pPr>
    </w:p>
    <w:p w14:paraId="6C453DBA">
      <w:pPr>
        <w:widowControl/>
        <w:numPr>
          <w:ilvl w:val="0"/>
          <w:numId w:val="0"/>
        </w:numPr>
        <w:spacing w:line="580" w:lineRule="exact"/>
        <w:ind w:firstLine="640" w:firstLineChars="200"/>
        <w:jc w:val="right"/>
        <w:outlineLvl w:val="0"/>
        <w:rPr>
          <w:rFonts w:hint="default" w:ascii="仿宋_GB2312" w:hAnsi="Times New Roman" w:eastAsia="仿宋_GB2312" w:cs="Times New Roman"/>
          <w:b w:val="0"/>
          <w:bCs w:val="0"/>
          <w:kern w:val="0"/>
          <w:sz w:val="32"/>
          <w:szCs w:val="32"/>
          <w:lang w:val="en-US" w:eastAsia="zh-CN" w:bidi="ar-SA"/>
        </w:rPr>
      </w:pPr>
      <w:r>
        <w:rPr>
          <w:rFonts w:hint="default" w:ascii="仿宋_GB2312" w:hAnsi="Times New Roman" w:eastAsia="仿宋_GB2312" w:cs="Times New Roman"/>
          <w:b w:val="0"/>
          <w:bCs w:val="0"/>
          <w:kern w:val="0"/>
          <w:sz w:val="32"/>
          <w:szCs w:val="32"/>
          <w:lang w:val="en-US" w:eastAsia="zh-CN" w:bidi="ar-SA"/>
        </w:rPr>
        <w:t>《食品安全“你点我检”“你送我检”工作流程</w:t>
      </w:r>
      <w:r>
        <w:rPr>
          <w:rFonts w:hint="eastAsia" w:ascii="仿宋_GB2312" w:hAnsi="Times New Roman" w:eastAsia="仿宋_GB2312" w:cs="Times New Roman"/>
          <w:b w:val="0"/>
          <w:bCs w:val="0"/>
          <w:kern w:val="0"/>
          <w:sz w:val="32"/>
          <w:szCs w:val="32"/>
          <w:lang w:val="en-US" w:eastAsia="zh-CN" w:bidi="ar-SA"/>
        </w:rPr>
        <w:t>与</w:t>
      </w:r>
      <w:r>
        <w:rPr>
          <w:rFonts w:hint="default" w:ascii="仿宋_GB2312" w:hAnsi="Times New Roman" w:eastAsia="仿宋_GB2312" w:cs="Times New Roman"/>
          <w:b w:val="0"/>
          <w:bCs w:val="0"/>
          <w:kern w:val="0"/>
          <w:sz w:val="32"/>
          <w:szCs w:val="32"/>
          <w:lang w:val="en-US" w:eastAsia="zh-CN" w:bidi="ar-SA"/>
        </w:rPr>
        <w:t>成效评价》</w:t>
      </w:r>
      <w:bookmarkStart w:id="0" w:name="_GoBack"/>
      <w:bookmarkEnd w:id="0"/>
      <w:r>
        <w:rPr>
          <w:rFonts w:hint="default" w:ascii="仿宋_GB2312" w:hAnsi="Times New Roman" w:eastAsia="仿宋_GB2312" w:cs="Times New Roman"/>
          <w:b w:val="0"/>
          <w:bCs w:val="0"/>
          <w:kern w:val="0"/>
          <w:sz w:val="32"/>
          <w:szCs w:val="32"/>
          <w:lang w:val="en-US" w:eastAsia="zh-CN" w:bidi="ar-SA"/>
        </w:rPr>
        <w:t>标准起草小组</w:t>
      </w:r>
    </w:p>
    <w:p w14:paraId="4A619812">
      <w:pPr>
        <w:ind w:firstLine="640" w:firstLineChars="200"/>
        <w:rPr>
          <w:rFonts w:hint="eastAsia" w:ascii="仿宋_GB2312" w:hAnsi="Times New Roman" w:eastAsia="仿宋_GB2312"/>
          <w:color w:val="000000"/>
          <w:sz w:val="32"/>
          <w:szCs w:val="32"/>
          <w:lang w:val="en-US" w:eastAsia="zh-CN"/>
        </w:rPr>
      </w:pPr>
      <w:r>
        <w:rPr>
          <w:rFonts w:hint="default" w:ascii="仿宋_GB2312" w:hAnsi="Times New Roman" w:eastAsia="仿宋_GB2312" w:cs="Times New Roman"/>
          <w:b w:val="0"/>
          <w:bCs w:val="0"/>
          <w:kern w:val="0"/>
          <w:sz w:val="32"/>
          <w:szCs w:val="32"/>
          <w:lang w:val="en-US" w:eastAsia="zh-CN" w:bidi="ar-SA"/>
        </w:rPr>
        <w:t xml:space="preserve">                                202</w:t>
      </w:r>
      <w:r>
        <w:rPr>
          <w:rFonts w:hint="eastAsia" w:ascii="仿宋_GB2312" w:hAnsi="Times New Roman" w:eastAsia="仿宋_GB2312" w:cs="Times New Roman"/>
          <w:b w:val="0"/>
          <w:bCs w:val="0"/>
          <w:kern w:val="0"/>
          <w:sz w:val="32"/>
          <w:szCs w:val="32"/>
          <w:lang w:val="en-US" w:eastAsia="zh-CN" w:bidi="ar-SA"/>
        </w:rPr>
        <w:t>4</w:t>
      </w:r>
      <w:r>
        <w:rPr>
          <w:rFonts w:hint="default" w:ascii="仿宋_GB2312" w:hAnsi="Times New Roman" w:eastAsia="仿宋_GB2312" w:cs="Times New Roman"/>
          <w:b w:val="0"/>
          <w:bCs w:val="0"/>
          <w:kern w:val="0"/>
          <w:sz w:val="32"/>
          <w:szCs w:val="32"/>
          <w:lang w:val="en-US" w:eastAsia="zh-CN" w:bidi="ar-SA"/>
        </w:rPr>
        <w:t>年</w:t>
      </w:r>
      <w:r>
        <w:rPr>
          <w:rFonts w:hint="eastAsia" w:ascii="仿宋_GB2312" w:hAnsi="Times New Roman" w:eastAsia="仿宋_GB2312" w:cs="Times New Roman"/>
          <w:b w:val="0"/>
          <w:bCs w:val="0"/>
          <w:kern w:val="0"/>
          <w:sz w:val="32"/>
          <w:szCs w:val="32"/>
          <w:lang w:val="en-US" w:eastAsia="zh-CN" w:bidi="ar-SA"/>
        </w:rPr>
        <w:t>10</w:t>
      </w:r>
      <w:r>
        <w:rPr>
          <w:rFonts w:hint="default" w:ascii="仿宋_GB2312" w:hAnsi="Times New Roman" w:eastAsia="仿宋_GB2312" w:cs="Times New Roman"/>
          <w:b w:val="0"/>
          <w:bCs w:val="0"/>
          <w:kern w:val="0"/>
          <w:sz w:val="32"/>
          <w:szCs w:val="32"/>
          <w:lang w:val="en-US" w:eastAsia="zh-CN" w:bidi="ar-SA"/>
        </w:rPr>
        <w:t>月</w:t>
      </w:r>
      <w:r>
        <w:rPr>
          <w:rFonts w:hint="eastAsia" w:ascii="仿宋_GB2312" w:hAnsi="Times New Roman" w:eastAsia="仿宋_GB2312" w:cs="Times New Roman"/>
          <w:b w:val="0"/>
          <w:bCs w:val="0"/>
          <w:kern w:val="0"/>
          <w:sz w:val="32"/>
          <w:szCs w:val="32"/>
          <w:lang w:val="en-US" w:eastAsia="zh-CN" w:bidi="ar-SA"/>
        </w:rPr>
        <w:t>23</w:t>
      </w:r>
      <w:r>
        <w:rPr>
          <w:rFonts w:hint="default" w:ascii="仿宋_GB2312" w:hAnsi="Times New Roman" w:eastAsia="仿宋_GB2312" w:cs="Times New Roman"/>
          <w:b w:val="0"/>
          <w:bCs w:val="0"/>
          <w:kern w:val="0"/>
          <w:sz w:val="32"/>
          <w:szCs w:val="32"/>
          <w:lang w:val="en-US" w:eastAsia="zh-CN" w:bidi="ar-S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98F678-F7B1-433D-A5C5-58F55F40EA2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B0AC52E-7844-4A95-9D6A-5547B4EB969C}"/>
  </w:font>
  <w:font w:name="方正小标宋简体">
    <w:panose1 w:val="02000000000000000000"/>
    <w:charset w:val="86"/>
    <w:family w:val="script"/>
    <w:pitch w:val="default"/>
    <w:sig w:usb0="00000001" w:usb1="08000000" w:usb2="00000000" w:usb3="00000000" w:csb0="00040000" w:csb1="00000000"/>
    <w:embedRegular r:id="rId3" w:fontKey="{BB3DD610-5048-40D1-87CC-FC6826A6E061}"/>
  </w:font>
  <w:font w:name="仿宋_GB2312">
    <w:altName w:val="仿宋"/>
    <w:panose1 w:val="02010609030101010101"/>
    <w:charset w:val="86"/>
    <w:family w:val="modern"/>
    <w:pitch w:val="default"/>
    <w:sig w:usb0="00000000" w:usb1="00000000" w:usb2="00000000" w:usb3="00000000" w:csb0="00040000" w:csb1="00000000"/>
    <w:embedRegular r:id="rId4" w:fontKey="{7078B997-CC6E-4D83-81BC-51A041354796}"/>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F2D3D"/>
    <w:multiLevelType w:val="singleLevel"/>
    <w:tmpl w:val="1F1F2D3D"/>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4EAC7DA9"/>
    <w:rsid w:val="0AAF40A8"/>
    <w:rsid w:val="120A65AF"/>
    <w:rsid w:val="16EB0762"/>
    <w:rsid w:val="27BD5803"/>
    <w:rsid w:val="283C0E1E"/>
    <w:rsid w:val="2AFD1D96"/>
    <w:rsid w:val="2F6478FF"/>
    <w:rsid w:val="3412323A"/>
    <w:rsid w:val="34E72111"/>
    <w:rsid w:val="39EC2E93"/>
    <w:rsid w:val="439E3150"/>
    <w:rsid w:val="4EAC7DA9"/>
    <w:rsid w:val="57AB43E4"/>
    <w:rsid w:val="7A594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qFormat/>
    <w:uiPriority w:val="0"/>
    <w:pPr>
      <w:widowControl w:val="0"/>
      <w:adjustRightInd w:val="0"/>
      <w:spacing w:line="360" w:lineRule="atLeast"/>
      <w:jc w:val="center"/>
      <w:textAlignment w:val="baseline"/>
    </w:pPr>
    <w:rPr>
      <w:rFonts w:hint="eastAsia" w:ascii="宋体" w:hAnsi="Times New Roman" w:eastAsia="宋体" w:cs="宋体"/>
      <w:kern w:val="0"/>
      <w:sz w:val="24"/>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2857</Words>
  <Characters>2922</Characters>
  <Lines>0</Lines>
  <Paragraphs>0</Paragraphs>
  <TotalTime>3</TotalTime>
  <ScaleCrop>false</ScaleCrop>
  <LinksUpToDate>false</LinksUpToDate>
  <CharactersWithSpaces>2957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2024-10-23T01:59:00Z</dcterms:created>
  <dc:creator>好名字</dc:creator>
  <cp:lastModifiedBy>陈星瞳</cp:lastModifiedBy>
  <dcterms:modified xsi:type="dcterms:W3CDTF">2024-11-15T02:29:09Z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9340D734A7DF4210B96F91482275DE53_11</vt:lpwstr>
  </property>
</Properties>
</file>